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2101" w14:textId="77777777" w:rsidR="004709BB" w:rsidRPr="00A7324E" w:rsidRDefault="004709BB" w:rsidP="001962DD">
      <w:pPr>
        <w:pStyle w:val="Nadpis1"/>
        <w:spacing w:after="150"/>
        <w:jc w:val="both"/>
        <w:rPr>
          <w:rFonts w:ascii="Arial" w:eastAsia="Times New Roman" w:hAnsi="Arial" w:cs="Arial"/>
          <w:sz w:val="36"/>
          <w:szCs w:val="36"/>
          <w:lang w:eastAsia="cs-CZ"/>
        </w:rPr>
      </w:pPr>
      <w:r w:rsidRPr="00A7324E">
        <w:rPr>
          <w:rFonts w:ascii="Arial" w:eastAsia="Times New Roman" w:hAnsi="Arial" w:cs="Arial"/>
          <w:sz w:val="36"/>
          <w:szCs w:val="36"/>
          <w:lang w:eastAsia="cs-CZ"/>
        </w:rPr>
        <w:t>Rekvalifikace</w:t>
      </w:r>
    </w:p>
    <w:p w14:paraId="5C90C7A1" w14:textId="392D1C67"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 xml:space="preserve">Rekvalifikace umožňuje fyzickým osobám získat kvalifikaci pro nové zaměstnání nebo udržení stávajícího zaměstnání. </w:t>
      </w:r>
    </w:p>
    <w:p w14:paraId="39474209" w14:textId="77777777" w:rsidR="004709BB" w:rsidRPr="001962DD" w:rsidRDefault="004709BB" w:rsidP="001962DD">
      <w:pPr>
        <w:pStyle w:val="Nadpis2"/>
        <w:spacing w:after="150"/>
        <w:jc w:val="both"/>
        <w:rPr>
          <w:rFonts w:ascii="Arial" w:eastAsia="Times New Roman" w:hAnsi="Arial" w:cs="Arial"/>
          <w:lang w:eastAsia="cs-CZ"/>
        </w:rPr>
      </w:pPr>
      <w:r w:rsidRPr="001962DD">
        <w:rPr>
          <w:rFonts w:ascii="Arial" w:eastAsia="Times New Roman" w:hAnsi="Arial" w:cs="Arial"/>
          <w:lang w:eastAsia="cs-CZ"/>
        </w:rPr>
        <w:t>Rekvalifikací se rozumí</w:t>
      </w:r>
    </w:p>
    <w:p w14:paraId="7DBD15E1" w14:textId="77777777"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získání nové kvalifikace a zvýšení, rozšíření nebo prohloubení dosavadní kvalifikace, včetně jejího udržování nebo obnovování. Za rekvalifikaci se považuje i získání kvalifikace pro pracovní uplatnění fyzické osoby, která dosud žádnou kvalifikaci nezískala. Při určování obsahu a rozsahu rekvalifikace se vychází z dosavadní kvalifikace, zdravotního stavu, schopností a zkušeností fyzické osoby, která má být rekvalifikována formou získání nových teoretických a praktických dovedností v rámci dalšího profesního vzdělávání (§ 108 odst. 1 zákona č. 435/2004 Sb., o zaměstnanosti, ve znění pozdějších předpisů).</w:t>
      </w:r>
    </w:p>
    <w:p w14:paraId="59FD44EF" w14:textId="77777777" w:rsidR="004709BB" w:rsidRPr="001962DD" w:rsidRDefault="004709BB" w:rsidP="001962DD">
      <w:pPr>
        <w:pStyle w:val="Nadpis2"/>
        <w:spacing w:before="0" w:after="150"/>
        <w:jc w:val="both"/>
        <w:rPr>
          <w:rFonts w:ascii="Arial" w:eastAsia="Times New Roman" w:hAnsi="Arial" w:cs="Arial"/>
          <w:lang w:eastAsia="cs-CZ"/>
        </w:rPr>
      </w:pPr>
      <w:r w:rsidRPr="001962DD">
        <w:rPr>
          <w:rFonts w:ascii="Arial" w:eastAsia="Times New Roman" w:hAnsi="Arial" w:cs="Arial"/>
          <w:lang w:eastAsia="cs-CZ"/>
        </w:rPr>
        <w:t>Podmínky pro zařazení fyzické osoby do rekvalifikačního kurzu</w:t>
      </w:r>
    </w:p>
    <w:p w14:paraId="644A69C0" w14:textId="77777777" w:rsidR="004709BB" w:rsidRPr="00D26482" w:rsidRDefault="004709BB" w:rsidP="001962DD">
      <w:pPr>
        <w:numPr>
          <w:ilvl w:val="0"/>
          <w:numId w:val="1"/>
        </w:numPr>
        <w:spacing w:after="150" w:line="240" w:lineRule="auto"/>
        <w:ind w:left="495"/>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být v evidenci Úřadu práce jako uchazeč nebo zájemce o zaměstnání,</w:t>
      </w:r>
    </w:p>
    <w:p w14:paraId="15C7DE4B" w14:textId="77777777" w:rsidR="004709BB" w:rsidRPr="00D26482" w:rsidRDefault="004709BB" w:rsidP="001962DD">
      <w:pPr>
        <w:numPr>
          <w:ilvl w:val="0"/>
          <w:numId w:val="1"/>
        </w:numPr>
        <w:spacing w:after="150" w:line="240" w:lineRule="auto"/>
        <w:ind w:left="495"/>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mít odpovídající vstupní kvalifikační předpoklady pro daný rekvalifikační kurz a pro výkon profese, na kterou se rekvalifikuje (např. příslušný stupeň vzdělání, některé znalosti a dovednosti – záleží na typu rekvalifikace),</w:t>
      </w:r>
    </w:p>
    <w:p w14:paraId="2FA79A2B" w14:textId="77777777" w:rsidR="004709BB" w:rsidRPr="00D26482" w:rsidRDefault="004709BB" w:rsidP="001962DD">
      <w:pPr>
        <w:numPr>
          <w:ilvl w:val="0"/>
          <w:numId w:val="1"/>
        </w:numPr>
        <w:spacing w:before="100" w:beforeAutospacing="1" w:after="150" w:line="240" w:lineRule="auto"/>
        <w:ind w:left="495"/>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být zdravotně způsobilý/</w:t>
      </w:r>
      <w:proofErr w:type="spellStart"/>
      <w:r w:rsidRPr="00D26482">
        <w:rPr>
          <w:rFonts w:ascii="Arial" w:eastAsia="Times New Roman" w:hAnsi="Arial" w:cs="Arial"/>
          <w:color w:val="333333"/>
          <w:sz w:val="24"/>
          <w:szCs w:val="24"/>
          <w:lang w:eastAsia="cs-CZ"/>
        </w:rPr>
        <w:t>lá</w:t>
      </w:r>
      <w:proofErr w:type="spellEnd"/>
      <w:r w:rsidRPr="00D26482">
        <w:rPr>
          <w:rFonts w:ascii="Arial" w:eastAsia="Times New Roman" w:hAnsi="Arial" w:cs="Arial"/>
          <w:color w:val="333333"/>
          <w:sz w:val="24"/>
          <w:szCs w:val="24"/>
          <w:lang w:eastAsia="cs-CZ"/>
        </w:rPr>
        <w:t xml:space="preserve"> pro absolvování rekvalifikačního kurzu a pro výkon nové profese,</w:t>
      </w:r>
    </w:p>
    <w:p w14:paraId="4BD242EE" w14:textId="77777777" w:rsidR="004709BB" w:rsidRPr="00D26482" w:rsidRDefault="004709BB" w:rsidP="001962DD">
      <w:pPr>
        <w:numPr>
          <w:ilvl w:val="0"/>
          <w:numId w:val="1"/>
        </w:numPr>
        <w:spacing w:before="100" w:beforeAutospacing="1" w:after="150" w:line="240" w:lineRule="auto"/>
        <w:ind w:left="495"/>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rekvalifikace musí být potřebná – dosavadní kvalifikace uchazeče nebo zájemce o zaměstnání neumožňuje získání vhodného pracovního místa,</w:t>
      </w:r>
    </w:p>
    <w:p w14:paraId="5C5E8019" w14:textId="77777777" w:rsidR="004709BB" w:rsidRPr="00D26482" w:rsidRDefault="004709BB" w:rsidP="001962DD">
      <w:pPr>
        <w:numPr>
          <w:ilvl w:val="0"/>
          <w:numId w:val="1"/>
        </w:numPr>
        <w:spacing w:before="100" w:beforeAutospacing="1" w:after="150" w:line="240" w:lineRule="auto"/>
        <w:ind w:left="495"/>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rekvalifikace musí být účelná - po ukončení rekvalifikace je reálná šance získat zaměstnání.</w:t>
      </w:r>
    </w:p>
    <w:p w14:paraId="30651E8B" w14:textId="77777777" w:rsidR="004709BB" w:rsidRPr="001962DD" w:rsidRDefault="004709BB" w:rsidP="001962DD">
      <w:pPr>
        <w:pStyle w:val="Nadpis2"/>
        <w:spacing w:after="150"/>
        <w:jc w:val="both"/>
        <w:rPr>
          <w:rFonts w:ascii="Arial" w:eastAsia="Times New Roman" w:hAnsi="Arial" w:cs="Arial"/>
          <w:lang w:eastAsia="cs-CZ"/>
        </w:rPr>
      </w:pPr>
      <w:r w:rsidRPr="001962DD">
        <w:rPr>
          <w:rFonts w:ascii="Arial" w:eastAsia="Times New Roman" w:hAnsi="Arial" w:cs="Arial"/>
          <w:lang w:eastAsia="cs-CZ"/>
        </w:rPr>
        <w:t>Úhrada nákladů rekvalifikace</w:t>
      </w:r>
    </w:p>
    <w:p w14:paraId="39475C65"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 xml:space="preserve">Úřad práce hradí náklady rekvalifikace (kurzovné) za uchazeče nebo zájemce o </w:t>
      </w:r>
      <w:proofErr w:type="gramStart"/>
      <w:r w:rsidRPr="00D26482">
        <w:rPr>
          <w:rFonts w:ascii="Arial" w:eastAsia="Times New Roman" w:hAnsi="Arial" w:cs="Arial"/>
          <w:color w:val="333333"/>
          <w:sz w:val="24"/>
          <w:szCs w:val="24"/>
          <w:lang w:eastAsia="cs-CZ"/>
        </w:rPr>
        <w:t>zaměstnání</w:t>
      </w:r>
      <w:proofErr w:type="gramEnd"/>
      <w:r w:rsidRPr="00D26482">
        <w:rPr>
          <w:rFonts w:ascii="Arial" w:eastAsia="Times New Roman" w:hAnsi="Arial" w:cs="Arial"/>
          <w:color w:val="333333"/>
          <w:sz w:val="24"/>
          <w:szCs w:val="24"/>
          <w:lang w:eastAsia="cs-CZ"/>
        </w:rPr>
        <w:t xml:space="preserve"> pokud je na rekvalifikaci doporučí a uzavře s nimi, ještě před zahájením rekvalifikačního kurzu, písemnou dohodu o rekvalifikaci. Uchazeči o zaměstnání může dále poskytnout příspěvek na úhradu prokázaných nutných nákladů spojených s rekvalifikací (např. jízdní výdaje na cestu hromadnými dopravními prostředky, pojištění</w:t>
      </w:r>
      <w:r w:rsidR="00A7324E">
        <w:rPr>
          <w:rFonts w:ascii="Arial" w:eastAsia="Times New Roman" w:hAnsi="Arial" w:cs="Arial"/>
          <w:color w:val="333333"/>
          <w:sz w:val="24"/>
          <w:szCs w:val="24"/>
          <w:lang w:eastAsia="cs-CZ"/>
        </w:rPr>
        <w:t xml:space="preserve"> </w:t>
      </w:r>
      <w:r w:rsidRPr="00D26482">
        <w:rPr>
          <w:rFonts w:ascii="Arial" w:eastAsia="Times New Roman" w:hAnsi="Arial" w:cs="Arial"/>
          <w:color w:val="333333"/>
          <w:sz w:val="24"/>
          <w:szCs w:val="24"/>
          <w:lang w:eastAsia="cs-CZ"/>
        </w:rPr>
        <w:t>pro případ škody způsobené uchazečem o zaměstnání rekvalifikačnímu zařízení).</w:t>
      </w:r>
    </w:p>
    <w:p w14:paraId="15DAD34D"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V dohodě o rekvalifikaci je stanovena povinnost, uhradit plně náklady rekvalifikace, pokud uchazeč nebo zájemce o rekvalifikaci bez vážných důvodů nedokončí rekvalifikaci nebo odmítne nastoupit do vhodného zaměstnání odpovídajícího nově získané kvalifikaci</w:t>
      </w:r>
    </w:p>
    <w:p w14:paraId="32517DB5" w14:textId="677BDD04"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Na úhradu nákladů rekvalifikace a nákladů spojených s rekvalifikací není právní nárok.</w:t>
      </w:r>
    </w:p>
    <w:p w14:paraId="7B505FF8" w14:textId="77777777" w:rsidR="004709BB" w:rsidRPr="001962DD" w:rsidRDefault="004709BB" w:rsidP="001962DD">
      <w:pPr>
        <w:pStyle w:val="Nadpis2"/>
        <w:spacing w:after="150"/>
        <w:jc w:val="both"/>
        <w:rPr>
          <w:rFonts w:ascii="Arial" w:eastAsia="Times New Roman" w:hAnsi="Arial" w:cs="Arial"/>
          <w:lang w:eastAsia="cs-CZ"/>
        </w:rPr>
      </w:pPr>
      <w:r w:rsidRPr="001962DD">
        <w:rPr>
          <w:rFonts w:ascii="Arial" w:eastAsia="Times New Roman" w:hAnsi="Arial" w:cs="Arial"/>
          <w:lang w:eastAsia="cs-CZ"/>
        </w:rPr>
        <w:t>Podpora při rekvalifikaci</w:t>
      </w:r>
    </w:p>
    <w:p w14:paraId="0F53ABC0"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 xml:space="preserve">Nárok na podporu při rekvalifikaci má uchazeč o zaměstnání, který se zúčastní rekvalifikace zabezpečované krajskou pobočkou Úřadu práce a ke dni, k němuž má být podpora při rekvalifikaci přiznána, není poživatelem starobního důchodu. Výše podpory při rekvalifikaci činí 60 % průměrného měsíčního čistého výdělku, kterého </w:t>
      </w:r>
      <w:r w:rsidRPr="00D26482">
        <w:rPr>
          <w:rFonts w:ascii="Arial" w:eastAsia="Times New Roman" w:hAnsi="Arial" w:cs="Arial"/>
          <w:color w:val="333333"/>
          <w:sz w:val="24"/>
          <w:szCs w:val="24"/>
          <w:lang w:eastAsia="cs-CZ"/>
        </w:rPr>
        <w:lastRenderedPageBreak/>
        <w:t>uchazeč o zaměstnání dosáhl ve svém posledním zaměstnání. Uchazeči, který vykonával samostatnou výdělečnou činnost, se podpora při rekvalifikaci stanoví procentní sazbou z posledního vyměřovacího základu v rozhodném období přepočteného na 1 kalendářní měsíc. Uchazeči, kterému nelze stanovit vyměřovací základ nebo uchazeči, kterému vznikl nárok na podporu započtením náhradní doby nebo uchazeči, který bez svého zavinění nemůže osvědčit výši průměrného čistého výdělku, se podpora při rekvalifikaci stanoví ve výši 0,14násobku průměrné mzdy v národním hospodářství za první až třetí čtvrtletí kalendářního roku předcházejícímu kalendářnímu roku, ve kterém uchazeč o zaměstnání nastoupil na rekvalifikaci.</w:t>
      </w:r>
    </w:p>
    <w:p w14:paraId="557E976B" w14:textId="306E377E"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Maximální výše podpory při rekvalifikaci činí 0,65násobek průměrné mzdy v národním hospodářství za první až třetí čtvrtletí kalendářního roku, ve kterém uchazeč o zaměstnání nastoupil na rekvalifikaci.</w:t>
      </w:r>
    </w:p>
    <w:p w14:paraId="7483B41E" w14:textId="77777777" w:rsidR="004709BB" w:rsidRPr="001962DD" w:rsidRDefault="004709BB" w:rsidP="001962DD">
      <w:pPr>
        <w:pStyle w:val="Nadpis2"/>
        <w:spacing w:after="150"/>
        <w:jc w:val="both"/>
        <w:rPr>
          <w:rFonts w:ascii="Arial" w:eastAsia="Times New Roman" w:hAnsi="Arial" w:cs="Arial"/>
          <w:lang w:eastAsia="cs-CZ"/>
        </w:rPr>
      </w:pPr>
      <w:r w:rsidRPr="001962DD">
        <w:rPr>
          <w:rFonts w:ascii="Arial" w:eastAsia="Times New Roman" w:hAnsi="Arial" w:cs="Arial"/>
          <w:lang w:eastAsia="cs-CZ"/>
        </w:rPr>
        <w:t>Realizace rekvalifikace</w:t>
      </w:r>
    </w:p>
    <w:p w14:paraId="53CD1F3C"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Krajské pobočky Úřadu práce zabezpečují rekvalifikaci na základě písemně uzavřené dohody o provedení rekvalifikace s rekvalifikačním zařízením (soukromé vzdělávací zařízení, podnikové zařízení, škola apod.). Rekvalifikace se provádí v rámci dalšího profesního vzdělávání, tj. mimo počáteční vzdělávání.</w:t>
      </w:r>
    </w:p>
    <w:p w14:paraId="7BA1D157" w14:textId="63B5E2DD"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Propojení rekvalifikací s Národní soustavou kvalifikací (zákon č. 179/2006 Sb., o ověřování a uznávání výsledků dalšího vzdělávání) umožňuje účastníkům rekvalifikačních kurzů získat nejen profesní kvalifikaci, ale i úplnou profesní kvalifikaci. Některé úplné profesní kvalifikace se skládají z několika profesních kvalifikací. Získá-li účastník rekvalifikace osvědčení o všech požadovaných profesních kvalifikacích, bude moci na příslušné škole nebo učilišti složit zkoušku předepsanou pro příslušný obor vzdělání (tzn. závěrečnou „učňovskou“ nebo maturitní zkoušku) a získat certifikát o dosažení odpovídajícího stupně vzdělání.</w:t>
      </w:r>
      <w:r w:rsidR="00A7324E">
        <w:rPr>
          <w:rFonts w:ascii="Arial" w:eastAsia="Times New Roman" w:hAnsi="Arial" w:cs="Arial"/>
          <w:color w:val="333333"/>
          <w:sz w:val="24"/>
          <w:szCs w:val="24"/>
          <w:lang w:eastAsia="cs-CZ"/>
        </w:rPr>
        <w:t xml:space="preserve"> </w:t>
      </w:r>
      <w:r w:rsidRPr="00D26482">
        <w:rPr>
          <w:rFonts w:ascii="Arial" w:eastAsia="Times New Roman" w:hAnsi="Arial" w:cs="Arial"/>
          <w:color w:val="333333"/>
          <w:sz w:val="24"/>
          <w:szCs w:val="24"/>
          <w:lang w:eastAsia="cs-CZ"/>
        </w:rPr>
        <w:t>Informaci k zaměření a realizaci rekvalifikačních kurzů lze získat na adrese:</w:t>
      </w:r>
      <w:r w:rsidR="00A7324E">
        <w:rPr>
          <w:rFonts w:ascii="Arial" w:eastAsia="Times New Roman" w:hAnsi="Arial" w:cs="Arial"/>
          <w:color w:val="333333"/>
          <w:sz w:val="24"/>
          <w:szCs w:val="24"/>
          <w:lang w:eastAsia="cs-CZ"/>
        </w:rPr>
        <w:t xml:space="preserve"> </w:t>
      </w:r>
      <w:hyperlink r:id="rId7" w:history="1">
        <w:r w:rsidR="00A7324E" w:rsidRPr="005C5901">
          <w:rPr>
            <w:rStyle w:val="Hypertextovodkaz"/>
            <w:rFonts w:ascii="Arial" w:eastAsia="Times New Roman" w:hAnsi="Arial" w:cs="Arial"/>
            <w:sz w:val="24"/>
            <w:szCs w:val="24"/>
            <w:lang w:eastAsia="cs-CZ"/>
          </w:rPr>
          <w:t>www.eu-dat.cz</w:t>
        </w:r>
      </w:hyperlink>
      <w:r w:rsidRPr="00D26482">
        <w:rPr>
          <w:rFonts w:ascii="Arial" w:eastAsia="Times New Roman" w:hAnsi="Arial" w:cs="Arial"/>
          <w:color w:val="333333"/>
          <w:sz w:val="24"/>
          <w:szCs w:val="24"/>
          <w:lang w:eastAsia="cs-CZ"/>
        </w:rPr>
        <w:t>.</w:t>
      </w:r>
    </w:p>
    <w:p w14:paraId="09E8ECEC" w14:textId="77777777" w:rsidR="004709BB" w:rsidRPr="001962DD" w:rsidRDefault="004709BB" w:rsidP="001962DD">
      <w:pPr>
        <w:pStyle w:val="Nadpis2"/>
        <w:spacing w:after="150"/>
        <w:jc w:val="both"/>
        <w:rPr>
          <w:rFonts w:ascii="Arial" w:eastAsia="Times New Roman" w:hAnsi="Arial" w:cs="Arial"/>
          <w:lang w:eastAsia="cs-CZ"/>
        </w:rPr>
      </w:pPr>
      <w:r w:rsidRPr="001962DD">
        <w:rPr>
          <w:rFonts w:ascii="Arial" w:eastAsia="Times New Roman" w:hAnsi="Arial" w:cs="Arial"/>
          <w:lang w:eastAsia="cs-CZ"/>
        </w:rPr>
        <w:t>Výběr a zařazování uchazečů/ zájemců o zaměstnání do rekvalifikace</w:t>
      </w:r>
    </w:p>
    <w:p w14:paraId="47D5C604" w14:textId="77777777"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Výběru osob do rekvalifikací předchází profesně-poradenský pohovor, kterým je zjišťováno, zejména zda jsou splněny podmínky pro zařazení do rekvalifikačního kurzu, viz kapitola výše.</w:t>
      </w:r>
    </w:p>
    <w:p w14:paraId="6F1A6EB4" w14:textId="77777777" w:rsidR="004709BB" w:rsidRPr="001962DD" w:rsidRDefault="004709BB" w:rsidP="001962DD">
      <w:pPr>
        <w:pStyle w:val="Nadpis2"/>
        <w:spacing w:after="150"/>
        <w:jc w:val="both"/>
        <w:rPr>
          <w:rFonts w:ascii="Arial" w:eastAsia="Times New Roman" w:hAnsi="Arial" w:cs="Arial"/>
          <w:lang w:eastAsia="cs-CZ"/>
        </w:rPr>
      </w:pPr>
      <w:r w:rsidRPr="001962DD">
        <w:rPr>
          <w:rFonts w:ascii="Arial" w:eastAsia="Times New Roman" w:hAnsi="Arial" w:cs="Arial"/>
          <w:lang w:eastAsia="cs-CZ"/>
        </w:rPr>
        <w:t>Zvolená rekvalifikace</w:t>
      </w:r>
    </w:p>
    <w:p w14:paraId="6415D4C4" w14:textId="77777777"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Podle ustanovení §109a zákona o zaměstnanosti si může uchazeč/zájemce o zaměstnání (dále jen „zájemce o zvolenou rekvalifikaci“) zabezpečit rekvalifikaci sám. Za tím účelem si volí:</w:t>
      </w:r>
    </w:p>
    <w:p w14:paraId="0C6AED6B"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a)</w:t>
      </w:r>
      <w:r w:rsidR="00A7324E">
        <w:rPr>
          <w:rFonts w:ascii="Arial" w:eastAsia="Times New Roman" w:hAnsi="Arial" w:cs="Arial"/>
          <w:color w:val="333333"/>
          <w:sz w:val="24"/>
          <w:szCs w:val="24"/>
          <w:lang w:eastAsia="cs-CZ"/>
        </w:rPr>
        <w:t xml:space="preserve"> </w:t>
      </w:r>
      <w:r w:rsidRPr="00D26482">
        <w:rPr>
          <w:rFonts w:ascii="Arial" w:eastAsia="Times New Roman" w:hAnsi="Arial" w:cs="Arial"/>
          <w:color w:val="333333"/>
          <w:sz w:val="24"/>
          <w:szCs w:val="24"/>
          <w:lang w:eastAsia="cs-CZ"/>
        </w:rPr>
        <w:t xml:space="preserve">druh pracovní činnosti, na kterou se chce rekvalifikovat, </w:t>
      </w:r>
    </w:p>
    <w:p w14:paraId="34905A44" w14:textId="01F418E0"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b)</w:t>
      </w:r>
      <w:r w:rsidR="00A7324E">
        <w:rPr>
          <w:rFonts w:ascii="Arial" w:eastAsia="Times New Roman" w:hAnsi="Arial" w:cs="Arial"/>
          <w:color w:val="333333"/>
          <w:sz w:val="24"/>
          <w:szCs w:val="24"/>
          <w:lang w:eastAsia="cs-CZ"/>
        </w:rPr>
        <w:t xml:space="preserve"> </w:t>
      </w:r>
      <w:r w:rsidRPr="00D26482">
        <w:rPr>
          <w:rFonts w:ascii="Arial" w:eastAsia="Times New Roman" w:hAnsi="Arial" w:cs="Arial"/>
          <w:color w:val="333333"/>
          <w:sz w:val="24"/>
          <w:szCs w:val="24"/>
          <w:lang w:eastAsia="cs-CZ"/>
        </w:rPr>
        <w:t xml:space="preserve">rekvalifikační zařízení, které má rekvalifikaci provést. </w:t>
      </w:r>
    </w:p>
    <w:p w14:paraId="0AA80745"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 xml:space="preserve">Zájemce o zvolenou rekvalifikaci předloží Úřadu práce ČR (na kontaktním pracovišti dle svého místa trvalého bydliště) svůj požadavek na formuláři „Zájem o zvolenou rekvalifikaci“ – část A (viz Formuláře pro občany). Formulář je třeba předložit alespoň 30 dnů před termínem zahájení kurzu, aby bylo možné požadavek Úřadem práce posoudit a administrativně zpracovat. Zájemce podepíše „Poučení zájemce o zvolenou rekvalifikaci“ – část B formuláře „Zájem o zvolenou rekvalifikaci“. Požadavek bude posuzován v odborné komisi zejména z hlediska, zda zvolená rekvalifikace přispěje k </w:t>
      </w:r>
      <w:r w:rsidRPr="00D26482">
        <w:rPr>
          <w:rFonts w:ascii="Arial" w:eastAsia="Times New Roman" w:hAnsi="Arial" w:cs="Arial"/>
          <w:color w:val="333333"/>
          <w:sz w:val="24"/>
          <w:szCs w:val="24"/>
          <w:lang w:eastAsia="cs-CZ"/>
        </w:rPr>
        <w:lastRenderedPageBreak/>
        <w:t>uplatnění zájemce o zvolenou rekvalifikaci na trhu práce a zda je pro něho vzhledem k zdravotnímu stavu vhodná.</w:t>
      </w:r>
    </w:p>
    <w:p w14:paraId="438C2E0C"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Cenu rekvalifikace doloží zájemce o zvolenou rekvalifikaci Úřadu práce „Potvrzením rekvalifikačního zařízení o ceně rekvalifikačního kurzu“ – část C formuláře „Zájem o zvolenou rekvalifikaci“. Cena rekvalifikace musí obsahovat i náklady za závěrečnou zkoušku. Vynaložená finanční částka na zvolenou rekvalifikaci nesmí v období 3 po sobě následujících let ode dne prvního nástupu na zvolenou rekvalifikaci přesáhnout celkovou částku 50 000 Kč. Je-li rekvalifikace odbornou komisí doporučena, obdrží zájemce o zvolenou rekvalifikaci formulář „Potvrzení o úhradě ceny rekvalifikačního kurzu po úspěšném absolvování rekvalifikace“, které je určeno rekvalifikačnímu zařízení. Hrazení zvolené rekvalifikace Úřadem práce není nárokové, je plně na zvážení Úřadu práce, zda rekvalifikaci uhradí. Úřad práce uhradí cenu zvolené rekvalifikace po úspěšném absolvování rekvalifikace přímo rekvalifikačnímu zařízení.</w:t>
      </w:r>
    </w:p>
    <w:p w14:paraId="58B1201B" w14:textId="77777777" w:rsidR="00A7324E"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Úřad práce může hradit cenu rekvalifikace pouze za dobu, po kterou je zájemce o zvolenou rekvalifikaci veden v evidenci uchazečů o zaměstnání nebo zájemců o zaměstnání. Jiné náklady než cenu zvolené rekvalifikace Úřad práce nehradí. Náklady na případné lékařské vyšetření v souvislosti se zvolenou rekvalifikací si hradí zájemce o zvolenou rekvalifikaci sám. Pokud zájemce o zvolenou rekvalifikaci odmítne bez vážných důvodů nastoupit do zaměstnání odpovídajícího nově získané kvalifikaci, bude povinen cenu rekvalifikace Úřadu práce uhradit. Nedokončí-li rekvalifikaci bez vážných důvodů, Úřad práce za něho cenu zvolené rekvalifikace neuhradí.</w:t>
      </w:r>
    </w:p>
    <w:p w14:paraId="20E3AE3C" w14:textId="767DF1C6" w:rsidR="004709BB" w:rsidRPr="00D26482" w:rsidRDefault="004709BB" w:rsidP="001962DD">
      <w:pPr>
        <w:spacing w:after="150" w:line="240" w:lineRule="auto"/>
        <w:jc w:val="both"/>
        <w:rPr>
          <w:rFonts w:ascii="Arial" w:eastAsia="Times New Roman" w:hAnsi="Arial" w:cs="Arial"/>
          <w:color w:val="333333"/>
          <w:sz w:val="24"/>
          <w:szCs w:val="24"/>
          <w:lang w:eastAsia="cs-CZ"/>
        </w:rPr>
      </w:pPr>
      <w:r w:rsidRPr="00D26482">
        <w:rPr>
          <w:rFonts w:ascii="Arial" w:eastAsia="Times New Roman" w:hAnsi="Arial" w:cs="Arial"/>
          <w:color w:val="333333"/>
          <w:sz w:val="24"/>
          <w:szCs w:val="24"/>
          <w:lang w:eastAsia="cs-CZ"/>
        </w:rPr>
        <w:t>Uchazeči o zaměstnání nevzniká účastí na zvolené rekvalifikaci nárok na podporu při rekvalifikaci.</w:t>
      </w:r>
    </w:p>
    <w:p w14:paraId="599FEADE" w14:textId="2A8BF124" w:rsidR="004709BB" w:rsidRPr="001962DD" w:rsidRDefault="004709BB" w:rsidP="001962DD">
      <w:pPr>
        <w:pStyle w:val="Nadpis2"/>
        <w:spacing w:after="150"/>
        <w:jc w:val="both"/>
        <w:rPr>
          <w:rFonts w:ascii="Arial" w:eastAsia="Times New Roman" w:hAnsi="Arial" w:cs="Arial"/>
          <w:lang w:eastAsia="cs-CZ"/>
        </w:rPr>
      </w:pPr>
      <w:r w:rsidRPr="001962DD">
        <w:rPr>
          <w:rFonts w:ascii="Arial" w:eastAsia="Times New Roman" w:hAnsi="Arial" w:cs="Arial"/>
          <w:lang w:eastAsia="cs-CZ"/>
        </w:rPr>
        <w:t xml:space="preserve">Rekvalifikace </w:t>
      </w:r>
      <w:r w:rsidR="00A7324E" w:rsidRPr="001962DD">
        <w:rPr>
          <w:rFonts w:ascii="Arial" w:eastAsia="Times New Roman" w:hAnsi="Arial" w:cs="Arial"/>
          <w:lang w:eastAsia="cs-CZ"/>
        </w:rPr>
        <w:t>pro zaměstnance</w:t>
      </w:r>
    </w:p>
    <w:p w14:paraId="459513B3" w14:textId="6E5C48A8" w:rsidR="00A7324E" w:rsidRPr="00A7324E" w:rsidRDefault="00A7324E" w:rsidP="001962DD">
      <w:pPr>
        <w:spacing w:after="150"/>
        <w:jc w:val="both"/>
        <w:rPr>
          <w:rFonts w:ascii="Arial" w:eastAsia="Times New Roman" w:hAnsi="Arial" w:cs="Arial"/>
          <w:color w:val="333333"/>
          <w:sz w:val="24"/>
          <w:szCs w:val="24"/>
          <w:u w:val="single"/>
          <w:lang w:eastAsia="cs-CZ"/>
        </w:rPr>
      </w:pPr>
      <w:r w:rsidRPr="00A7324E">
        <w:rPr>
          <w:rFonts w:ascii="Arial" w:eastAsia="Times New Roman" w:hAnsi="Arial" w:cs="Arial"/>
          <w:color w:val="333333"/>
          <w:sz w:val="24"/>
          <w:szCs w:val="24"/>
          <w:u w:val="single"/>
          <w:lang w:eastAsia="cs-CZ"/>
        </w:rPr>
        <w:t>1. Ž</w:t>
      </w:r>
      <w:r w:rsidRPr="00A7324E">
        <w:rPr>
          <w:rFonts w:ascii="Arial" w:eastAsia="Times New Roman" w:hAnsi="Arial" w:cs="Arial"/>
          <w:color w:val="333333"/>
          <w:sz w:val="24"/>
          <w:szCs w:val="24"/>
          <w:u w:val="single"/>
          <w:lang w:eastAsia="cs-CZ"/>
        </w:rPr>
        <w:t>ivotní událost</w:t>
      </w:r>
      <w:r w:rsidR="008A4911">
        <w:rPr>
          <w:rFonts w:ascii="Arial" w:eastAsia="Times New Roman" w:hAnsi="Arial" w:cs="Arial"/>
          <w:color w:val="333333"/>
          <w:sz w:val="24"/>
          <w:szCs w:val="24"/>
          <w:u w:val="single"/>
          <w:lang w:eastAsia="cs-CZ"/>
        </w:rPr>
        <w:t>i</w:t>
      </w:r>
    </w:p>
    <w:p w14:paraId="6958B740" w14:textId="728DD0ED"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Jsem zaměstnavatel a moji zaměstnanci potřebují rekvalifikaci.</w:t>
      </w:r>
    </w:p>
    <w:p w14:paraId="082A043A" w14:textId="30554481" w:rsidR="00A7324E" w:rsidRPr="00A7324E" w:rsidRDefault="00A7324E" w:rsidP="001962DD">
      <w:pPr>
        <w:spacing w:after="150"/>
        <w:jc w:val="both"/>
        <w:rPr>
          <w:rFonts w:ascii="Arial" w:eastAsia="Times New Roman" w:hAnsi="Arial" w:cs="Arial"/>
          <w:color w:val="333333"/>
          <w:sz w:val="24"/>
          <w:szCs w:val="24"/>
          <w:u w:val="single"/>
          <w:lang w:eastAsia="cs-CZ"/>
        </w:rPr>
      </w:pPr>
      <w:r w:rsidRPr="00A7324E">
        <w:rPr>
          <w:rFonts w:ascii="Arial" w:eastAsia="Times New Roman" w:hAnsi="Arial" w:cs="Arial"/>
          <w:color w:val="333333"/>
          <w:sz w:val="24"/>
          <w:szCs w:val="24"/>
          <w:u w:val="single"/>
          <w:lang w:eastAsia="cs-CZ"/>
        </w:rPr>
        <w:t xml:space="preserve">2. </w:t>
      </w:r>
      <w:r w:rsidRPr="00A7324E">
        <w:rPr>
          <w:rFonts w:ascii="Arial" w:eastAsia="Times New Roman" w:hAnsi="Arial" w:cs="Arial"/>
          <w:color w:val="333333"/>
          <w:sz w:val="24"/>
          <w:szCs w:val="24"/>
          <w:u w:val="single"/>
          <w:lang w:eastAsia="cs-CZ"/>
        </w:rPr>
        <w:t>Obecné informace</w:t>
      </w:r>
    </w:p>
    <w:p w14:paraId="08D0626A" w14:textId="77777777" w:rsidR="00A7324E" w:rsidRPr="00A7324E" w:rsidRDefault="00A7324E" w:rsidP="001962DD">
      <w:pPr>
        <w:spacing w:after="150"/>
        <w:jc w:val="both"/>
        <w:rPr>
          <w:rFonts w:ascii="Arial" w:hAnsi="Arial" w:cs="Arial"/>
          <w:sz w:val="24"/>
          <w:szCs w:val="24"/>
          <w:lang w:eastAsia="cs-CZ"/>
        </w:rPr>
      </w:pPr>
      <w:r w:rsidRPr="00A7324E">
        <w:rPr>
          <w:rFonts w:ascii="Arial" w:hAnsi="Arial" w:cs="Arial"/>
          <w:sz w:val="24"/>
          <w:szCs w:val="24"/>
          <w:lang w:eastAsia="cs-CZ"/>
        </w:rPr>
        <w:t>Žádost o úhradu nákladů na zabezpečení rekvalifikace zaměstnanců podle § 110 zákona č. 435/2004 Sb., o zaměstnanosti. Žádost podává jen zaměstnavatel.</w:t>
      </w:r>
    </w:p>
    <w:p w14:paraId="3C212ECF" w14:textId="2910E93C" w:rsidR="00A7324E" w:rsidRPr="00A7324E" w:rsidRDefault="00A7324E" w:rsidP="001962DD">
      <w:pPr>
        <w:spacing w:after="150"/>
        <w:jc w:val="both"/>
        <w:rPr>
          <w:rFonts w:ascii="Arial" w:hAnsi="Arial" w:cs="Arial"/>
          <w:sz w:val="24"/>
          <w:szCs w:val="24"/>
          <w:lang w:eastAsia="cs-CZ"/>
        </w:rPr>
      </w:pPr>
      <w:r w:rsidRPr="00A7324E">
        <w:rPr>
          <w:rFonts w:ascii="Arial" w:hAnsi="Arial" w:cs="Arial"/>
          <w:sz w:val="24"/>
          <w:szCs w:val="24"/>
          <w:lang w:eastAsia="cs-CZ"/>
        </w:rPr>
        <w:t>Zaměstnaneckou rekvalifikací se rozumí získání, zvýšení, rozšíření nebo prohloubení dosavadní kvalifikace zaměstnanců v zájmu jejich dalšího pracovního uplatnění u zaměstnavatele (§ 110 zákona č. 435/2004 Sb., o zaměstnanosti, ve znění pozdějších předpisů).</w:t>
      </w:r>
    </w:p>
    <w:p w14:paraId="050727B4" w14:textId="4E2FB66C" w:rsidR="00A7324E" w:rsidRPr="00A7324E" w:rsidRDefault="00A7324E" w:rsidP="001962DD">
      <w:pPr>
        <w:spacing w:after="150"/>
        <w:jc w:val="both"/>
        <w:rPr>
          <w:rFonts w:ascii="Arial" w:eastAsia="Times New Roman" w:hAnsi="Arial" w:cs="Arial"/>
          <w:color w:val="333333"/>
          <w:sz w:val="24"/>
          <w:szCs w:val="24"/>
          <w:u w:val="single"/>
          <w:lang w:eastAsia="cs-CZ"/>
        </w:rPr>
      </w:pPr>
      <w:r w:rsidRPr="00A7324E">
        <w:rPr>
          <w:rFonts w:ascii="Arial" w:eastAsia="Times New Roman" w:hAnsi="Arial" w:cs="Arial"/>
          <w:color w:val="333333"/>
          <w:sz w:val="24"/>
          <w:szCs w:val="24"/>
          <w:u w:val="single"/>
          <w:lang w:eastAsia="cs-CZ"/>
        </w:rPr>
        <w:t xml:space="preserve">3. </w:t>
      </w:r>
      <w:r w:rsidRPr="00A7324E">
        <w:rPr>
          <w:rFonts w:ascii="Arial" w:eastAsia="Times New Roman" w:hAnsi="Arial" w:cs="Arial"/>
          <w:color w:val="333333"/>
          <w:sz w:val="24"/>
          <w:szCs w:val="24"/>
          <w:u w:val="single"/>
          <w:lang w:eastAsia="cs-CZ"/>
        </w:rPr>
        <w:t>Vznik nároku</w:t>
      </w:r>
    </w:p>
    <w:p w14:paraId="7E8ADEC2" w14:textId="77777777"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Zaměstnavatelům nebo rekvalifikačním zařízením, které pro zaměstnavatele rekvalifikaci zaměstnanců zajišťují a kteří provádějí rekvalifikaci v zájmu dalšího pracovního uplatnění svých zaměstnanců, mohou být na základě písemné dohody s příslušným Úřadem práce ČR plně nebo částečně hrazeny náklady spojené s touto činností (§ 110 odst. 1 zákona č. 435/2004 Sb., o zaměstnanosti, ve znění pozdějších předpisů). V tomto případě lze hradit pouze náklady na realizaci rekvalifikačního kurzu (kurzovné), nikoli náhradu mzdy, která přísluší rekvalifikovanému zaměstnanci po dobu rekvalifikace realizované v pracovní době, ani např. cestovné nebo náklady na ochranné pracovní prostředky.</w:t>
      </w:r>
    </w:p>
    <w:p w14:paraId="4AF57555" w14:textId="36C19F5A"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lastRenderedPageBreak/>
        <w:t>Žádosti zaměstnavatelů o finanční příspěvek na rekvalifikaci zaměstnanců přijímá příslušné kontaktní pracoviště Úřadu práce ČR, na kterém je možno obdržet formulář žádosti.</w:t>
      </w:r>
    </w:p>
    <w:p w14:paraId="45A316AB" w14:textId="4F4C0B80" w:rsidR="00A7324E" w:rsidRPr="00A7324E" w:rsidRDefault="00A7324E" w:rsidP="001962DD">
      <w:pPr>
        <w:spacing w:after="150"/>
        <w:jc w:val="both"/>
        <w:rPr>
          <w:rFonts w:ascii="Arial" w:eastAsia="Times New Roman" w:hAnsi="Arial" w:cs="Arial"/>
          <w:color w:val="333333"/>
          <w:sz w:val="24"/>
          <w:szCs w:val="24"/>
          <w:u w:val="single"/>
          <w:lang w:eastAsia="cs-CZ"/>
        </w:rPr>
      </w:pPr>
      <w:r w:rsidRPr="00A7324E">
        <w:rPr>
          <w:rFonts w:ascii="Arial" w:eastAsia="Times New Roman" w:hAnsi="Arial" w:cs="Arial"/>
          <w:color w:val="333333"/>
          <w:sz w:val="24"/>
          <w:szCs w:val="24"/>
          <w:u w:val="single"/>
          <w:lang w:eastAsia="cs-CZ"/>
        </w:rPr>
        <w:t xml:space="preserve">4. </w:t>
      </w:r>
      <w:r w:rsidRPr="00A7324E">
        <w:rPr>
          <w:rFonts w:ascii="Arial" w:eastAsia="Times New Roman" w:hAnsi="Arial" w:cs="Arial"/>
          <w:color w:val="333333"/>
          <w:sz w:val="24"/>
          <w:szCs w:val="24"/>
          <w:u w:val="single"/>
          <w:lang w:eastAsia="cs-CZ"/>
        </w:rPr>
        <w:t>Způsoby podání</w:t>
      </w:r>
    </w:p>
    <w:p w14:paraId="2DD339E0" w14:textId="2A059E4E"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Pro elektronické podání formulářů existují následující možnosti doručení:</w:t>
      </w:r>
    </w:p>
    <w:p w14:paraId="769C3807" w14:textId="77777777" w:rsidR="00A7324E" w:rsidRDefault="00A7324E" w:rsidP="001962DD">
      <w:pPr>
        <w:pStyle w:val="Odstavecseseznamem"/>
        <w:numPr>
          <w:ilvl w:val="0"/>
          <w:numId w:val="2"/>
        </w:num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prostřednictvím informačního systému datových schránek</w:t>
      </w:r>
    </w:p>
    <w:p w14:paraId="03633863" w14:textId="77777777" w:rsidR="00A7324E" w:rsidRDefault="00A7324E" w:rsidP="001962DD">
      <w:pPr>
        <w:pStyle w:val="Odstavecseseznamem"/>
        <w:numPr>
          <w:ilvl w:val="0"/>
          <w:numId w:val="2"/>
        </w:num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zasláním e-mailové zprávy na adresu elektronické podatelny</w:t>
      </w:r>
    </w:p>
    <w:p w14:paraId="337B570E" w14:textId="1E3C2FD9" w:rsidR="00A7324E" w:rsidRPr="001962DD" w:rsidRDefault="00A7324E" w:rsidP="001962DD">
      <w:pPr>
        <w:pStyle w:val="Odstavecseseznamem"/>
        <w:numPr>
          <w:ilvl w:val="0"/>
          <w:numId w:val="2"/>
        </w:numPr>
        <w:spacing w:after="150"/>
        <w:jc w:val="both"/>
        <w:rPr>
          <w:rFonts w:ascii="Arial" w:eastAsia="Times New Roman" w:hAnsi="Arial" w:cs="Arial"/>
          <w:color w:val="333333"/>
          <w:sz w:val="24"/>
          <w:szCs w:val="24"/>
          <w:lang w:eastAsia="cs-CZ"/>
        </w:rPr>
      </w:pPr>
      <w:r>
        <w:rPr>
          <w:rFonts w:ascii="Arial" w:eastAsia="Times New Roman" w:hAnsi="Arial" w:cs="Arial"/>
          <w:color w:val="333333"/>
          <w:sz w:val="24"/>
          <w:szCs w:val="24"/>
          <w:lang w:eastAsia="cs-CZ"/>
        </w:rPr>
        <w:t>d</w:t>
      </w:r>
      <w:r w:rsidRPr="00A7324E">
        <w:rPr>
          <w:rFonts w:ascii="Arial" w:eastAsia="Times New Roman" w:hAnsi="Arial" w:cs="Arial"/>
          <w:color w:val="333333"/>
          <w:sz w:val="24"/>
          <w:szCs w:val="24"/>
          <w:lang w:eastAsia="cs-CZ"/>
        </w:rPr>
        <w:t>alší variantou je podání vytištěného formuláře na příslušné pracoviště Úřadu práce ČR.</w:t>
      </w:r>
    </w:p>
    <w:p w14:paraId="1DC772A7" w14:textId="582D70E1" w:rsidR="00A7324E" w:rsidRPr="00A7324E" w:rsidRDefault="00A7324E" w:rsidP="001962DD">
      <w:pPr>
        <w:spacing w:after="150"/>
        <w:jc w:val="both"/>
        <w:rPr>
          <w:rFonts w:ascii="Arial" w:eastAsia="Times New Roman" w:hAnsi="Arial" w:cs="Arial"/>
          <w:b/>
          <w:bCs/>
          <w:color w:val="333333"/>
          <w:sz w:val="24"/>
          <w:szCs w:val="24"/>
          <w:lang w:eastAsia="cs-CZ"/>
        </w:rPr>
      </w:pPr>
      <w:r w:rsidRPr="00A7324E">
        <w:rPr>
          <w:rFonts w:ascii="Arial" w:eastAsia="Times New Roman" w:hAnsi="Arial" w:cs="Arial"/>
          <w:b/>
          <w:bCs/>
          <w:color w:val="333333"/>
          <w:sz w:val="24"/>
          <w:szCs w:val="24"/>
          <w:lang w:eastAsia="cs-CZ"/>
        </w:rPr>
        <w:t>Odeslání datovou schránkou</w:t>
      </w:r>
    </w:p>
    <w:p w14:paraId="43FF64C1" w14:textId="506F2998"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Všechny formuláře je také možné odeslat na úřad pomocí systému datových schránek. Datová schránka je elektronické úložiště, s jehož pomocí můžete posílat úřední dokumenty v elektronické podobě orgánům veřejné moci. Tento způsob komunikace je v souladu se zákonem 300/2008 Sb. a plně nahrazuje klasický způsob doručování v listinné podobě.</w:t>
      </w:r>
    </w:p>
    <w:p w14:paraId="39C74DDF" w14:textId="160BA0DA"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Pro odesílání formulářů z datové schránky nepotřebujete jako fyzická osoba vlastnit kvalifikovaný certifikát, který je nutný pro elektronické podání – pouze je nutné zažádat o (bezplatné) založení datové schránky. Postup zřízení datové schránky a další informace o datových schránkách jsou na informačním webu o datových schránkách.</w:t>
      </w:r>
    </w:p>
    <w:p w14:paraId="4E403C2B" w14:textId="4B295CC9"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V tomto případě tedy formulář vyplníte, stáhnete si na lokální uložiště a po jeho vyplnění odešlete formou přílohy prostřednictvím Vaší datové schránky na příslušnou adresu krajské pobočky Úřadu práce České republiky, v jejímž obvodu má žadatel sídlo (bydliště), kterou najdete na stránce: Kontaktní informace.</w:t>
      </w:r>
    </w:p>
    <w:p w14:paraId="115114D7" w14:textId="4D068D2B" w:rsidR="00A7324E" w:rsidRPr="00A7324E" w:rsidRDefault="00A7324E" w:rsidP="001962DD">
      <w:pPr>
        <w:spacing w:after="150"/>
        <w:jc w:val="both"/>
        <w:rPr>
          <w:rFonts w:ascii="Arial" w:eastAsia="Times New Roman" w:hAnsi="Arial" w:cs="Arial"/>
          <w:b/>
          <w:bCs/>
          <w:color w:val="333333"/>
          <w:sz w:val="24"/>
          <w:szCs w:val="24"/>
          <w:lang w:eastAsia="cs-CZ"/>
        </w:rPr>
      </w:pPr>
      <w:r w:rsidRPr="00A7324E">
        <w:rPr>
          <w:rFonts w:ascii="Arial" w:eastAsia="Times New Roman" w:hAnsi="Arial" w:cs="Arial"/>
          <w:b/>
          <w:bCs/>
          <w:color w:val="333333"/>
          <w:sz w:val="24"/>
          <w:szCs w:val="24"/>
          <w:lang w:eastAsia="cs-CZ"/>
        </w:rPr>
        <w:t>Z</w:t>
      </w:r>
      <w:r w:rsidRPr="00A7324E">
        <w:rPr>
          <w:rFonts w:ascii="Arial" w:eastAsia="Times New Roman" w:hAnsi="Arial" w:cs="Arial"/>
          <w:b/>
          <w:bCs/>
          <w:color w:val="333333"/>
          <w:sz w:val="24"/>
          <w:szCs w:val="24"/>
          <w:lang w:eastAsia="cs-CZ"/>
        </w:rPr>
        <w:t>asláním e-mailové zprávy na adresu elektronické podatelny</w:t>
      </w:r>
    </w:p>
    <w:p w14:paraId="083B9C5A" w14:textId="0CD96097"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 xml:space="preserve">Formuláře je také možno zaslat prostřednictvím e-mailu. V takovém případě je formulář přiložen jako příloha a tento mail musí obsahovat platný elektronický podpis. E-mail bez elektronického podpisu (e-mail, ve kterém je uvedeno pouze jméno a </w:t>
      </w:r>
      <w:r w:rsidRPr="00A7324E">
        <w:rPr>
          <w:rFonts w:ascii="Arial" w:eastAsia="Times New Roman" w:hAnsi="Arial" w:cs="Arial"/>
          <w:color w:val="333333"/>
          <w:sz w:val="24"/>
          <w:szCs w:val="24"/>
          <w:lang w:eastAsia="cs-CZ"/>
        </w:rPr>
        <w:t>příjmení,</w:t>
      </w:r>
      <w:r w:rsidRPr="00A7324E">
        <w:rPr>
          <w:rFonts w:ascii="Arial" w:eastAsia="Times New Roman" w:hAnsi="Arial" w:cs="Arial"/>
          <w:color w:val="333333"/>
          <w:sz w:val="24"/>
          <w:szCs w:val="24"/>
          <w:lang w:eastAsia="cs-CZ"/>
        </w:rPr>
        <w:t xml:space="preserve"> a tedy neobsahuje data v elektronické podobě, která jsou připojena k jiným datům v elektronické podobě nebo jsou s nimi logicky spojena, a která podepisující osoba používá k podepsání) můžete poslat přímo na e-mailovou adresu zaměstnance ÚP ČR, který se danou agendou zabývá. E-mail nebude považován za elektronicky podaný dokument, avšak naši zaměstnanci se budou snažit na něj odpovědět.</w:t>
      </w:r>
    </w:p>
    <w:p w14:paraId="71E9E9F5" w14:textId="3F2D7881" w:rsidR="00A7324E" w:rsidRPr="00A7324E" w:rsidRDefault="00A7324E" w:rsidP="001962DD">
      <w:pPr>
        <w:spacing w:after="150"/>
        <w:jc w:val="both"/>
        <w:rPr>
          <w:rFonts w:ascii="Arial" w:eastAsia="Times New Roman" w:hAnsi="Arial" w:cs="Arial"/>
          <w:b/>
          <w:bCs/>
          <w:color w:val="333333"/>
          <w:sz w:val="24"/>
          <w:szCs w:val="24"/>
          <w:lang w:eastAsia="cs-CZ"/>
        </w:rPr>
      </w:pPr>
      <w:r w:rsidRPr="00A7324E">
        <w:rPr>
          <w:rFonts w:ascii="Arial" w:eastAsia="Times New Roman" w:hAnsi="Arial" w:cs="Arial"/>
          <w:b/>
          <w:bCs/>
          <w:color w:val="333333"/>
          <w:sz w:val="24"/>
          <w:szCs w:val="24"/>
          <w:lang w:eastAsia="cs-CZ"/>
        </w:rPr>
        <w:t>P</w:t>
      </w:r>
      <w:r w:rsidRPr="00A7324E">
        <w:rPr>
          <w:rFonts w:ascii="Arial" w:eastAsia="Times New Roman" w:hAnsi="Arial" w:cs="Arial"/>
          <w:b/>
          <w:bCs/>
          <w:color w:val="333333"/>
          <w:sz w:val="24"/>
          <w:szCs w:val="24"/>
          <w:lang w:eastAsia="cs-CZ"/>
        </w:rPr>
        <w:t>odání formuláře v listinné podobě na příslušné pracoviště Úřadu práce ČR</w:t>
      </w:r>
    </w:p>
    <w:p w14:paraId="516F0374" w14:textId="3F885833" w:rsidR="00A7324E" w:rsidRPr="00A7324E"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Formulář je možné vyplnit přímo v elektronické podobě, následně vytisknout a po vytištění ho vlastnoručně podepsat.</w:t>
      </w:r>
    </w:p>
    <w:p w14:paraId="07C8DCA2" w14:textId="6631E028" w:rsidR="00082A3B" w:rsidRDefault="00A7324E" w:rsidP="001962DD">
      <w:pPr>
        <w:spacing w:after="150"/>
        <w:jc w:val="both"/>
        <w:rPr>
          <w:rFonts w:ascii="Arial" w:eastAsia="Times New Roman" w:hAnsi="Arial" w:cs="Arial"/>
          <w:color w:val="333333"/>
          <w:sz w:val="24"/>
          <w:szCs w:val="24"/>
          <w:lang w:eastAsia="cs-CZ"/>
        </w:rPr>
      </w:pPr>
      <w:r w:rsidRPr="00A7324E">
        <w:rPr>
          <w:rFonts w:ascii="Arial" w:eastAsia="Times New Roman" w:hAnsi="Arial" w:cs="Arial"/>
          <w:color w:val="333333"/>
          <w:sz w:val="24"/>
          <w:szCs w:val="24"/>
          <w:lang w:eastAsia="cs-CZ"/>
        </w:rPr>
        <w:t>Další variantou</w:t>
      </w:r>
      <w:r w:rsidR="00D17089">
        <w:rPr>
          <w:rFonts w:ascii="Arial" w:eastAsia="Times New Roman" w:hAnsi="Arial" w:cs="Arial"/>
          <w:color w:val="333333"/>
          <w:sz w:val="24"/>
          <w:szCs w:val="24"/>
          <w:lang w:eastAsia="cs-CZ"/>
        </w:rPr>
        <w:t>,</w:t>
      </w:r>
      <w:r w:rsidRPr="00A7324E">
        <w:rPr>
          <w:rFonts w:ascii="Arial" w:eastAsia="Times New Roman" w:hAnsi="Arial" w:cs="Arial"/>
          <w:color w:val="333333"/>
          <w:sz w:val="24"/>
          <w:szCs w:val="24"/>
          <w:lang w:eastAsia="cs-CZ"/>
        </w:rPr>
        <w:t xml:space="preserve"> jak vyplnit formulář, je tisk prázdného formuláře a jeho následné vyplnění</w:t>
      </w:r>
      <w:r w:rsidR="00082A3B">
        <w:rPr>
          <w:rFonts w:ascii="Arial" w:eastAsia="Times New Roman" w:hAnsi="Arial" w:cs="Arial"/>
          <w:color w:val="333333"/>
          <w:sz w:val="24"/>
          <w:szCs w:val="24"/>
          <w:lang w:eastAsia="cs-CZ"/>
        </w:rPr>
        <w:t>.</w:t>
      </w:r>
    </w:p>
    <w:p w14:paraId="40F1D0C5" w14:textId="48902200" w:rsidR="00D17089" w:rsidRPr="00082A3B" w:rsidRDefault="00082A3B" w:rsidP="001962DD">
      <w:pPr>
        <w:spacing w:after="150"/>
        <w:jc w:val="both"/>
        <w:rPr>
          <w:rFonts w:ascii="Arial" w:eastAsia="Times New Roman" w:hAnsi="Arial" w:cs="Arial"/>
          <w:color w:val="333333"/>
          <w:sz w:val="24"/>
          <w:szCs w:val="24"/>
          <w:lang w:eastAsia="cs-CZ"/>
        </w:rPr>
      </w:pPr>
      <w:hyperlink r:id="rId8" w:history="1">
        <w:r w:rsidRPr="005C5901">
          <w:rPr>
            <w:rStyle w:val="Hypertextovodkaz"/>
            <w:rFonts w:ascii="Arial" w:hAnsi="Arial" w:cs="Arial"/>
            <w:sz w:val="24"/>
            <w:szCs w:val="24"/>
          </w:rPr>
          <w:t>https://www.mpsv.cz/web/cz/-/zadost-o-uhradu-nakladu-na-zabezpeceni-rekvalifikace</w:t>
        </w:r>
        <w:r w:rsidRPr="005C5901">
          <w:rPr>
            <w:rStyle w:val="Hypertextovodkaz"/>
            <w:rFonts w:ascii="Arial" w:hAnsi="Arial" w:cs="Arial"/>
            <w:sz w:val="24"/>
            <w:szCs w:val="24"/>
          </w:rPr>
          <w:t>-</w:t>
        </w:r>
        <w:r w:rsidRPr="005C5901">
          <w:rPr>
            <w:rStyle w:val="Hypertextovodkaz"/>
            <w:rFonts w:ascii="Arial" w:hAnsi="Arial" w:cs="Arial"/>
            <w:sz w:val="24"/>
            <w:szCs w:val="24"/>
          </w:rPr>
          <w:t>zamestnancu</w:t>
        </w:r>
      </w:hyperlink>
      <w:r>
        <w:rPr>
          <w:rFonts w:ascii="Arial" w:hAnsi="Arial" w:cs="Arial"/>
          <w:sz w:val="24"/>
          <w:szCs w:val="24"/>
        </w:rPr>
        <w:t xml:space="preserve"> </w:t>
      </w:r>
    </w:p>
    <w:sectPr w:rsidR="00D17089" w:rsidRPr="00082A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5479" w14:textId="77777777" w:rsidR="00FF1972" w:rsidRDefault="00FF1972" w:rsidP="00082A3B">
      <w:pPr>
        <w:spacing w:after="0" w:line="240" w:lineRule="auto"/>
      </w:pPr>
      <w:r>
        <w:separator/>
      </w:r>
    </w:p>
  </w:endnote>
  <w:endnote w:type="continuationSeparator" w:id="0">
    <w:p w14:paraId="67A78F43" w14:textId="77777777" w:rsidR="00FF1972" w:rsidRDefault="00FF1972" w:rsidP="0008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9FF9E" w14:textId="77777777" w:rsidR="00FF1972" w:rsidRDefault="00FF1972" w:rsidP="00082A3B">
      <w:pPr>
        <w:spacing w:after="0" w:line="240" w:lineRule="auto"/>
      </w:pPr>
      <w:r>
        <w:separator/>
      </w:r>
    </w:p>
  </w:footnote>
  <w:footnote w:type="continuationSeparator" w:id="0">
    <w:p w14:paraId="6CEE478E" w14:textId="77777777" w:rsidR="00FF1972" w:rsidRDefault="00FF1972" w:rsidP="0008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7" type="#_x0000_t75" style="width:3in;height:3in" o:bullet="t"/>
    </w:pict>
  </w:numPicBullet>
  <w:abstractNum w:abstractNumId="0" w15:restartNumberingAfterBreak="0">
    <w:nsid w:val="336152FC"/>
    <w:multiLevelType w:val="hybridMultilevel"/>
    <w:tmpl w:val="8BCCA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9D044E"/>
    <w:multiLevelType w:val="multilevel"/>
    <w:tmpl w:val="B36C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BB"/>
    <w:rsid w:val="000722D7"/>
    <w:rsid w:val="00082A3B"/>
    <w:rsid w:val="001962DD"/>
    <w:rsid w:val="004709BB"/>
    <w:rsid w:val="008A4911"/>
    <w:rsid w:val="00A7324E"/>
    <w:rsid w:val="00AC2869"/>
    <w:rsid w:val="00D17089"/>
    <w:rsid w:val="00D26482"/>
    <w:rsid w:val="00FF1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5AA8E"/>
  <w15:chartTrackingRefBased/>
  <w15:docId w15:val="{FBD2D95E-DBFA-4861-8FC9-A52AE7CB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264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26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648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26482"/>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A7324E"/>
    <w:pPr>
      <w:ind w:left="720"/>
      <w:contextualSpacing/>
    </w:pPr>
  </w:style>
  <w:style w:type="character" w:styleId="Hypertextovodkaz">
    <w:name w:val="Hyperlink"/>
    <w:basedOn w:val="Standardnpsmoodstavce"/>
    <w:uiPriority w:val="99"/>
    <w:unhideWhenUsed/>
    <w:rsid w:val="00A7324E"/>
    <w:rPr>
      <w:color w:val="0563C1" w:themeColor="hyperlink"/>
      <w:u w:val="single"/>
    </w:rPr>
  </w:style>
  <w:style w:type="character" w:styleId="Nevyeenzmnka">
    <w:name w:val="Unresolved Mention"/>
    <w:basedOn w:val="Standardnpsmoodstavce"/>
    <w:uiPriority w:val="99"/>
    <w:semiHidden/>
    <w:unhideWhenUsed/>
    <w:rsid w:val="00A7324E"/>
    <w:rPr>
      <w:color w:val="605E5C"/>
      <w:shd w:val="clear" w:color="auto" w:fill="E1DFDD"/>
    </w:rPr>
  </w:style>
  <w:style w:type="character" w:styleId="Sledovanodkaz">
    <w:name w:val="FollowedHyperlink"/>
    <w:basedOn w:val="Standardnpsmoodstavce"/>
    <w:uiPriority w:val="99"/>
    <w:semiHidden/>
    <w:unhideWhenUsed/>
    <w:rsid w:val="008A49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755464">
      <w:bodyDiv w:val="1"/>
      <w:marLeft w:val="0"/>
      <w:marRight w:val="0"/>
      <w:marTop w:val="0"/>
      <w:marBottom w:val="0"/>
      <w:divBdr>
        <w:top w:val="none" w:sz="0" w:space="0" w:color="auto"/>
        <w:left w:val="none" w:sz="0" w:space="0" w:color="auto"/>
        <w:bottom w:val="none" w:sz="0" w:space="0" w:color="auto"/>
        <w:right w:val="none" w:sz="0" w:space="0" w:color="auto"/>
      </w:divBdr>
      <w:divsChild>
        <w:div w:id="685057806">
          <w:marLeft w:val="0"/>
          <w:marRight w:val="0"/>
          <w:marTop w:val="0"/>
          <w:marBottom w:val="0"/>
          <w:divBdr>
            <w:top w:val="none" w:sz="0" w:space="0" w:color="auto"/>
            <w:left w:val="none" w:sz="0" w:space="0" w:color="auto"/>
            <w:bottom w:val="none" w:sz="0" w:space="0" w:color="auto"/>
            <w:right w:val="none" w:sz="0" w:space="0" w:color="auto"/>
          </w:divBdr>
          <w:divsChild>
            <w:div w:id="1862040018">
              <w:marLeft w:val="0"/>
              <w:marRight w:val="0"/>
              <w:marTop w:val="0"/>
              <w:marBottom w:val="0"/>
              <w:divBdr>
                <w:top w:val="none" w:sz="0" w:space="0" w:color="auto"/>
                <w:left w:val="none" w:sz="0" w:space="0" w:color="auto"/>
                <w:bottom w:val="none" w:sz="0" w:space="0" w:color="auto"/>
                <w:right w:val="none" w:sz="0" w:space="0" w:color="auto"/>
              </w:divBdr>
              <w:divsChild>
                <w:div w:id="1423793685">
                  <w:marLeft w:val="0"/>
                  <w:marRight w:val="0"/>
                  <w:marTop w:val="0"/>
                  <w:marBottom w:val="0"/>
                  <w:divBdr>
                    <w:top w:val="none" w:sz="0" w:space="0" w:color="auto"/>
                    <w:left w:val="none" w:sz="0" w:space="0" w:color="auto"/>
                    <w:bottom w:val="none" w:sz="0" w:space="0" w:color="auto"/>
                    <w:right w:val="none" w:sz="0" w:space="0" w:color="auto"/>
                  </w:divBdr>
                  <w:divsChild>
                    <w:div w:id="1589147455">
                      <w:marLeft w:val="-225"/>
                      <w:marRight w:val="-225"/>
                      <w:marTop w:val="0"/>
                      <w:marBottom w:val="0"/>
                      <w:divBdr>
                        <w:top w:val="none" w:sz="0" w:space="0" w:color="auto"/>
                        <w:left w:val="none" w:sz="0" w:space="0" w:color="auto"/>
                        <w:bottom w:val="none" w:sz="0" w:space="0" w:color="auto"/>
                        <w:right w:val="none" w:sz="0" w:space="0" w:color="auto"/>
                      </w:divBdr>
                      <w:divsChild>
                        <w:div w:id="939678365">
                          <w:marLeft w:val="0"/>
                          <w:marRight w:val="0"/>
                          <w:marTop w:val="0"/>
                          <w:marBottom w:val="0"/>
                          <w:divBdr>
                            <w:top w:val="none" w:sz="0" w:space="0" w:color="auto"/>
                            <w:left w:val="none" w:sz="0" w:space="0" w:color="auto"/>
                            <w:bottom w:val="none" w:sz="0" w:space="0" w:color="auto"/>
                            <w:right w:val="none" w:sz="0" w:space="0" w:color="auto"/>
                          </w:divBdr>
                          <w:divsChild>
                            <w:div w:id="1384331836">
                              <w:marLeft w:val="0"/>
                              <w:marRight w:val="0"/>
                              <w:marTop w:val="0"/>
                              <w:marBottom w:val="0"/>
                              <w:divBdr>
                                <w:top w:val="none" w:sz="0" w:space="0" w:color="auto"/>
                                <w:left w:val="none" w:sz="0" w:space="0" w:color="auto"/>
                                <w:bottom w:val="none" w:sz="0" w:space="0" w:color="auto"/>
                                <w:right w:val="none" w:sz="0" w:space="0" w:color="auto"/>
                              </w:divBdr>
                              <w:divsChild>
                                <w:div w:id="1999722090">
                                  <w:marLeft w:val="0"/>
                                  <w:marRight w:val="0"/>
                                  <w:marTop w:val="0"/>
                                  <w:marBottom w:val="0"/>
                                  <w:divBdr>
                                    <w:top w:val="none" w:sz="0" w:space="0" w:color="auto"/>
                                    <w:left w:val="none" w:sz="0" w:space="0" w:color="auto"/>
                                    <w:bottom w:val="none" w:sz="0" w:space="0" w:color="auto"/>
                                    <w:right w:val="none" w:sz="0" w:space="0" w:color="auto"/>
                                  </w:divBdr>
                                  <w:divsChild>
                                    <w:div w:id="1217817354">
                                      <w:marLeft w:val="0"/>
                                      <w:marRight w:val="0"/>
                                      <w:marTop w:val="0"/>
                                      <w:marBottom w:val="0"/>
                                      <w:divBdr>
                                        <w:top w:val="none" w:sz="0" w:space="0" w:color="auto"/>
                                        <w:left w:val="none" w:sz="0" w:space="0" w:color="auto"/>
                                        <w:bottom w:val="none" w:sz="0" w:space="0" w:color="auto"/>
                                        <w:right w:val="none" w:sz="0" w:space="0" w:color="auto"/>
                                      </w:divBdr>
                                      <w:divsChild>
                                        <w:div w:id="1110273877">
                                          <w:marLeft w:val="0"/>
                                          <w:marRight w:val="0"/>
                                          <w:marTop w:val="0"/>
                                          <w:marBottom w:val="0"/>
                                          <w:divBdr>
                                            <w:top w:val="none" w:sz="0" w:space="0" w:color="auto"/>
                                            <w:left w:val="none" w:sz="0" w:space="0" w:color="auto"/>
                                            <w:bottom w:val="none" w:sz="0" w:space="0" w:color="auto"/>
                                            <w:right w:val="none" w:sz="0" w:space="0" w:color="auto"/>
                                          </w:divBdr>
                                          <w:divsChild>
                                            <w:div w:id="179203508">
                                              <w:marLeft w:val="0"/>
                                              <w:marRight w:val="0"/>
                                              <w:marTop w:val="0"/>
                                              <w:marBottom w:val="0"/>
                                              <w:divBdr>
                                                <w:top w:val="none" w:sz="0" w:space="0" w:color="auto"/>
                                                <w:left w:val="none" w:sz="0" w:space="0" w:color="auto"/>
                                                <w:bottom w:val="none" w:sz="0" w:space="0" w:color="auto"/>
                                                <w:right w:val="none" w:sz="0" w:space="0" w:color="auto"/>
                                              </w:divBdr>
                                              <w:divsChild>
                                                <w:div w:id="761030100">
                                                  <w:marLeft w:val="0"/>
                                                  <w:marRight w:val="0"/>
                                                  <w:marTop w:val="0"/>
                                                  <w:marBottom w:val="0"/>
                                                  <w:divBdr>
                                                    <w:top w:val="none" w:sz="0" w:space="0" w:color="auto"/>
                                                    <w:left w:val="none" w:sz="0" w:space="0" w:color="auto"/>
                                                    <w:bottom w:val="none" w:sz="0" w:space="0" w:color="auto"/>
                                                    <w:right w:val="none" w:sz="0" w:space="0" w:color="auto"/>
                                                  </w:divBdr>
                                                  <w:divsChild>
                                                    <w:div w:id="1973899678">
                                                      <w:marLeft w:val="0"/>
                                                      <w:marRight w:val="0"/>
                                                      <w:marTop w:val="0"/>
                                                      <w:marBottom w:val="0"/>
                                                      <w:divBdr>
                                                        <w:top w:val="none" w:sz="0" w:space="0" w:color="auto"/>
                                                        <w:left w:val="none" w:sz="0" w:space="0" w:color="auto"/>
                                                        <w:bottom w:val="none" w:sz="0" w:space="0" w:color="auto"/>
                                                        <w:right w:val="none" w:sz="0" w:space="0" w:color="auto"/>
                                                      </w:divBdr>
                                                      <w:divsChild>
                                                        <w:div w:id="390344627">
                                                          <w:marLeft w:val="0"/>
                                                          <w:marRight w:val="0"/>
                                                          <w:marTop w:val="0"/>
                                                          <w:marBottom w:val="0"/>
                                                          <w:divBdr>
                                                            <w:top w:val="none" w:sz="0" w:space="0" w:color="auto"/>
                                                            <w:left w:val="none" w:sz="0" w:space="0" w:color="auto"/>
                                                            <w:bottom w:val="none" w:sz="0" w:space="0" w:color="auto"/>
                                                            <w:right w:val="none" w:sz="0" w:space="0" w:color="auto"/>
                                                          </w:divBdr>
                                                          <w:divsChild>
                                                            <w:div w:id="1985426723">
                                                              <w:marLeft w:val="0"/>
                                                              <w:marRight w:val="0"/>
                                                              <w:marTop w:val="0"/>
                                                              <w:marBottom w:val="0"/>
                                                              <w:divBdr>
                                                                <w:top w:val="none" w:sz="0" w:space="0" w:color="auto"/>
                                                                <w:left w:val="none" w:sz="0" w:space="0" w:color="auto"/>
                                                                <w:bottom w:val="none" w:sz="0" w:space="0" w:color="auto"/>
                                                                <w:right w:val="none" w:sz="0" w:space="0" w:color="auto"/>
                                                              </w:divBdr>
                                                              <w:divsChild>
                                                                <w:div w:id="714693451">
                                                                  <w:marLeft w:val="0"/>
                                                                  <w:marRight w:val="0"/>
                                                                  <w:marTop w:val="0"/>
                                                                  <w:marBottom w:val="0"/>
                                                                  <w:divBdr>
                                                                    <w:top w:val="none" w:sz="0" w:space="0" w:color="auto"/>
                                                                    <w:left w:val="none" w:sz="0" w:space="0" w:color="auto"/>
                                                                    <w:bottom w:val="none" w:sz="0" w:space="0" w:color="auto"/>
                                                                    <w:right w:val="none" w:sz="0" w:space="0" w:color="auto"/>
                                                                  </w:divBdr>
                                                                  <w:divsChild>
                                                                    <w:div w:id="1375344893">
                                                                      <w:marLeft w:val="0"/>
                                                                      <w:marRight w:val="0"/>
                                                                      <w:marTop w:val="0"/>
                                                                      <w:marBottom w:val="0"/>
                                                                      <w:divBdr>
                                                                        <w:top w:val="none" w:sz="0" w:space="0" w:color="auto"/>
                                                                        <w:left w:val="none" w:sz="0" w:space="0" w:color="auto"/>
                                                                        <w:bottom w:val="none" w:sz="0" w:space="0" w:color="auto"/>
                                                                        <w:right w:val="none" w:sz="0" w:space="0" w:color="auto"/>
                                                                      </w:divBdr>
                                                                      <w:divsChild>
                                                                        <w:div w:id="775519756">
                                                                          <w:marLeft w:val="0"/>
                                                                          <w:marRight w:val="0"/>
                                                                          <w:marTop w:val="0"/>
                                                                          <w:marBottom w:val="0"/>
                                                                          <w:divBdr>
                                                                            <w:top w:val="none" w:sz="0" w:space="0" w:color="auto"/>
                                                                            <w:left w:val="none" w:sz="0" w:space="0" w:color="auto"/>
                                                                            <w:bottom w:val="none" w:sz="0" w:space="0" w:color="auto"/>
                                                                            <w:right w:val="none" w:sz="0" w:space="0" w:color="auto"/>
                                                                          </w:divBdr>
                                                                          <w:divsChild>
                                                                            <w:div w:id="5651448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web/cz/-/zadost-o-uhradu-nakladu-na-zabezpeceni-rekvalifikace-zamestnancu" TargetMode="External"/><Relationship Id="rId3" Type="http://schemas.openxmlformats.org/officeDocument/2006/relationships/settings" Target="settings.xml"/><Relationship Id="rId7" Type="http://schemas.openxmlformats.org/officeDocument/2006/relationships/hyperlink" Target="http://www.eu-da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1660</Words>
  <Characters>9800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Pochylá Yvona Bc. (UPB-BMA)</dc:creator>
  <cp:keywords/>
  <dc:description/>
  <cp:lastModifiedBy>Preussová Eva Mgr., DiS. (UPB-KRP)</cp:lastModifiedBy>
  <cp:revision>3</cp:revision>
  <dcterms:created xsi:type="dcterms:W3CDTF">2021-04-29T11:10:00Z</dcterms:created>
  <dcterms:modified xsi:type="dcterms:W3CDTF">2021-04-29T11:15:00Z</dcterms:modified>
</cp:coreProperties>
</file>